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BD" w:rsidRPr="007E06D1" w:rsidRDefault="00F659BD" w:rsidP="007E06D1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tbl>
      <w:tblPr>
        <w:tblW w:w="153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74"/>
        <w:gridCol w:w="12658"/>
        <w:gridCol w:w="1800"/>
      </w:tblGrid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244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2C4643" w:rsidRPr="007E06D1" w:rsidRDefault="00F659BD" w:rsidP="007E0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Пункт отчета и комментарии</w:t>
            </w:r>
          </w:p>
        </w:tc>
        <w:tc>
          <w:tcPr>
            <w:tcW w:w="1755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I .Создание организационно-правовых механизмов защиты детей от распространения информации, причиняющей вред их здоровью, несовместимой с задачами гражданского становления детей и направленной на распространение антиобщественных тенденций, а также внедрение систем исключения доступа к информации, в том числе средств фильтрации и иных аппаратно-программных и технико-технологических устройств</w:t>
            </w:r>
          </w:p>
        </w:tc>
      </w:tr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44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П.1 Обязательное размещение на бланках билетов, афишах на спектаклях и других мероприятиях, проводимых в учреждениях культуры и искусства, спорта, молодежи, соответствующих знаков информационной продукции, а также обязательное звуковое сообщение о недопустимости или об ограничении присутствия на мероприятиях детей соответствующих возрастных категорий для трансляции перед началом мероприятия</w:t>
            </w:r>
          </w:p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" w:name="line874"/>
        <w:bookmarkEnd w:id="1"/>
      </w:tr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44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п.2.1. Обеспечение ограничения доступа детей к незаконному и негативному контенту сети «Интернет» в учреждениях (отделениях) социального обслуживания семьи и детей, а также для детей-сирот и детей, оставшихся без попечения родителей. </w:t>
            </w:r>
          </w:p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Организационные ограничения</w:t>
            </w: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 xml:space="preserve"> (локальные нормативные акты, меры внутреннего контроля)</w:t>
            </w:r>
          </w:p>
        </w:tc>
        <w:tc>
          <w:tcPr>
            <w:tcW w:w="1755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" w:name="line875"/>
        <w:bookmarkEnd w:id="2"/>
      </w:tr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4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П.2.2. Обеспечение ограничения доступа детей к незаконному и негативному контенту сети «Интернет» в учреждениях (отделениях) социального обслуживания семьи и детей, а также для детей-сирот и детей, оставшихся без попечения родителей. </w:t>
            </w:r>
          </w:p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Включение в договоры на подключение к сети «Интернет» положений об обеспечении провайдером услуг контент-фильтрации 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интернет-трафика</w:t>
            </w:r>
            <w:proofErr w:type="gramEnd"/>
          </w:p>
        </w:tc>
        <w:tc>
          <w:tcPr>
            <w:tcW w:w="1755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3" w:name="line876"/>
        <w:bookmarkEnd w:id="3"/>
      </w:tr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44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п.3.1. Обеспечение ограничения доступа несовершеннолетних к незаконному и негативному контенту сети «Интернет» в общеобразовательных учреждениях и учреждениях, предоставляющих социально значимые услуги детям и молодежи. Обеспечение в общеобразовательных учреждениях предоставления доступа к сети «Интернет» с обеспечением контент-фильтрации 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интернет-трафика</w:t>
            </w:r>
            <w:proofErr w:type="gramEnd"/>
          </w:p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55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4" w:name="line877"/>
        <w:bookmarkEnd w:id="4"/>
      </w:tr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4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П.3.2. Обеспечение ограничения доступа несовершеннолетних к незаконному и негативному контенту сети «Интернет» в общеобразовательных учреждениях и учреждениях, предоставляющих социально значимые услуги детям и молодежи. </w:t>
            </w:r>
          </w:p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C4643" w:rsidRPr="007E06D1" w:rsidRDefault="002C4643" w:rsidP="002E0A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>Пункт относится ко  всем образовательным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организаци</w:t>
            </w:r>
            <w:r w:rsidRPr="00963889">
              <w:rPr>
                <w:rFonts w:eastAsia="Times New Roman" w:cs="Times New Roman"/>
                <w:i/>
                <w:szCs w:val="24"/>
                <w:lang w:eastAsia="ru-RU"/>
              </w:rPr>
              <w:t>ям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- введены ли организационные ограничения доступа детей к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незаконному и негативному контенту сети «Интернет»</w:t>
            </w:r>
          </w:p>
        </w:tc>
        <w:tc>
          <w:tcPr>
            <w:tcW w:w="1755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5" w:name="line878"/>
        <w:bookmarkEnd w:id="5"/>
      </w:tr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4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П.3.3. Обеспечение ограничения доступа несовершеннолетних к незаконному и негативному контенту сети «Интернет» в общеобразовательных учреждениях и учреждениях, предоставляющих социально значимые услуги детям и молодежи. </w:t>
            </w:r>
          </w:p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C4643" w:rsidRDefault="002C4643" w:rsidP="0096388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Учреждения, предоставляющие социально значимые услуги детям и молодежи (спортивные,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культурные и иные учреждения).</w:t>
            </w:r>
          </w:p>
          <w:p w:rsidR="002C4643" w:rsidRDefault="002C4643" w:rsidP="0096388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2C4643" w:rsidRPr="007E06D1" w:rsidRDefault="002C4643" w:rsidP="0096388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7E06D1">
              <w:rPr>
                <w:rFonts w:eastAsia="Times New Roman" w:cs="Times New Roman"/>
                <w:szCs w:val="24"/>
                <w:lang w:eastAsia="ru-RU"/>
              </w:rPr>
              <w:t>ведены организационные и технические ограничения доступа несовершеннолетних к незаконному и негативному контенту сети «Интернет»</w:t>
            </w:r>
          </w:p>
        </w:tc>
        <w:tc>
          <w:tcPr>
            <w:tcW w:w="1755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6" w:name="line879"/>
        <w:bookmarkEnd w:id="6"/>
      </w:tr>
      <w:tr w:rsidR="002C4643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44" w:type="dxa"/>
            <w:vAlign w:val="center"/>
            <w:hideMark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П.11. Организация обучения специалистов ОМСУ и подведомственных учреждений по учебным программам повышения квалификации «Противодействие идеологии терроризма» и «Обеспечение информационной безопасности в сфере противодействия идеологии терроризма и экстремизма в социальных сетях» </w:t>
            </w:r>
          </w:p>
          <w:p w:rsidR="002C4643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5E17ED" w:rsidRDefault="002C4643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Комментарий: </w:t>
            </w:r>
          </w:p>
          <w:p w:rsidR="005E17ED" w:rsidRDefault="002C4643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- Укажите, принимали ли в отчетном периоде специалисты ОМСУ в программах, организованных Департаментом региональной безопасности ЯО</w:t>
            </w:r>
          </w:p>
          <w:p w:rsidR="002C4643" w:rsidRPr="005E17ED" w:rsidRDefault="002C4643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- Укажите, принимали ли в отчетном периоде специалисты подведомственных учреждений в программах, организованных Департаментом региональной безопасности ЯО.</w:t>
            </w:r>
          </w:p>
          <w:p w:rsidR="002C4643" w:rsidRPr="005E17ED" w:rsidRDefault="002C4643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  <w:p w:rsidR="002C4643" w:rsidRPr="005E17ED" w:rsidRDefault="002C4643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- Укажите, принимали ли в отчетном периоде специалисты ОМСУ и подведомственных учреждений в программах, организованных иными организациями с указанием программ и общем </w:t>
            </w:r>
            <w:r w:rsidRPr="005E17ED">
              <w:rPr>
                <w:rFonts w:eastAsia="Times New Roman" w:cs="Times New Roman"/>
                <w:i/>
                <w:szCs w:val="24"/>
                <w:lang w:eastAsia="ru-RU"/>
              </w:rPr>
              <w:t>количестве участников от района.</w:t>
            </w:r>
          </w:p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В случае участия - укажите наименование программы и общее количество участников по данной программе</w:t>
            </w:r>
          </w:p>
        </w:tc>
        <w:tc>
          <w:tcPr>
            <w:tcW w:w="1755" w:type="dxa"/>
            <w:vAlign w:val="center"/>
          </w:tcPr>
          <w:p w:rsidR="002C4643" w:rsidRPr="007E06D1" w:rsidRDefault="002C4643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7" w:name="line880"/>
        <w:bookmarkEnd w:id="7"/>
      </w:tr>
      <w:tr w:rsidR="002B29F0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2B29F0" w:rsidRPr="007E06D1" w:rsidRDefault="002B29F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2B29F0" w:rsidRPr="007E06D1" w:rsidRDefault="002B29F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II.Формирование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у несовершеннолетних навыков ответственного и безопасного поведения в современной информационно-телекоммуникационной среде через обучение их способам защиты в информационном пространстве, а также профилактика 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интернет-зависимости</w:t>
            </w:r>
            <w:proofErr w:type="gramEnd"/>
            <w:r w:rsidRPr="007E06D1">
              <w:rPr>
                <w:rFonts w:eastAsia="Times New Roman" w:cs="Times New Roman"/>
                <w:szCs w:val="24"/>
                <w:lang w:eastAsia="ru-RU"/>
              </w:rPr>
              <w:t>, игровой зависимости у детей и подростков, предупреждение рисков вовлечения в противоправную деятельность и совершения правонарушений с использованием информационно-телекоммуникационных технологий</w:t>
            </w:r>
          </w:p>
        </w:tc>
      </w:tr>
      <w:tr w:rsidR="00C338D0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44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П.1.1. Поддержка деятельности служб «Телефон доверия» по оказанию экстренной психологической помощи семьям и детям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Оказание экстренной психологической (консультативной) помощи 100 процентам несовершеннолетних, обратившихся по телефону доверия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При наличии работы телефона доверия на базе муниципального учреждения укажите название учреждения, поддерживающего его работу и количество поступивших звонков. При отсутствии укажите, что нет муниципальных учреждений, самостоятельно обеспечивающих работу телефона доверия.</w:t>
            </w:r>
          </w:p>
        </w:tc>
        <w:tc>
          <w:tcPr>
            <w:tcW w:w="1755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8" w:name="line881"/>
        <w:bookmarkEnd w:id="8"/>
      </w:tr>
      <w:tr w:rsidR="00C338D0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4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П.1.2. Поддержка деятельности служб «Телефон доверия» по оказанию экстренной психологической помощи семьям и детям. Размещение информации о детском телефоне доверия на 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региональных</w:t>
            </w:r>
            <w:proofErr w:type="gram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и муниципальных 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интернет-ресурсах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>, пользующихся вниманием детской и молодежной аудитории.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8B0650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Укажите: </w:t>
            </w:r>
          </w:p>
          <w:p w:rsidR="00C338D0" w:rsidRPr="008B0650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- адрес страницы официального сайта администрации района, на которой размещена данная информация </w:t>
            </w:r>
          </w:p>
          <w:p w:rsidR="00C338D0" w:rsidRPr="008B0650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- адрес страницы официального сайта МОУО, на которой размещена данная информация </w:t>
            </w: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- количество образовательных организаций, на сайтах которых размещена эта информация</w:t>
            </w:r>
          </w:p>
        </w:tc>
        <w:tc>
          <w:tcPr>
            <w:tcW w:w="1755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9" w:name="line882"/>
        <w:bookmarkEnd w:id="9"/>
      </w:tr>
      <w:tr w:rsidR="00C338D0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44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П.2.1. Подготовка и размещение в региональных и муниципальных печатных и сетевых изданиях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8B0650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Размещение публикаций в муниципальных печатных изданиях: </w:t>
            </w: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укажите название муниципального печатного издания и количество публикаций</w:t>
            </w:r>
            <w:r w:rsidRPr="008B0650">
              <w:rPr>
                <w:rFonts w:eastAsia="Times New Roman" w:cs="Times New Roman"/>
                <w:i/>
                <w:szCs w:val="24"/>
                <w:lang w:eastAsia="ru-RU"/>
              </w:rPr>
              <w:t>. Если в отчетном периоде публикаций не было, укажите планы (Например, запланированы</w:t>
            </w:r>
            <w:proofErr w:type="gramStart"/>
            <w:r w:rsidRPr="008B0650">
              <w:rPr>
                <w:rFonts w:eastAsia="Times New Roman" w:cs="Times New Roman"/>
                <w:i/>
                <w:szCs w:val="24"/>
                <w:lang w:eastAsia="ru-RU"/>
              </w:rPr>
              <w:t xml:space="preserve"> .</w:t>
            </w:r>
            <w:proofErr w:type="gramEnd"/>
            <w:r w:rsidRPr="008B0650">
              <w:rPr>
                <w:rFonts w:eastAsia="Times New Roman" w:cs="Times New Roman"/>
                <w:i/>
                <w:szCs w:val="24"/>
                <w:lang w:eastAsia="ru-RU"/>
              </w:rPr>
              <w:t>. публикаций в газете … на 2 квартал 2020 года).</w:t>
            </w:r>
          </w:p>
        </w:tc>
        <w:tc>
          <w:tcPr>
            <w:tcW w:w="1755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0" w:name="line883"/>
        <w:bookmarkEnd w:id="10"/>
      </w:tr>
      <w:tr w:rsidR="00C338D0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44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П.2.2. Подготовка и размещение в региональных и муниципальных печатных и сетевых изданиях информации о защите детей от информации, причиняющей вред их здоровью и развитию, а также размещение в эфире телевизионных каналов сюжетов по указанной теме.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Укажите адрес сайта Администрации МР. </w:t>
            </w: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Количество размещенных в отчетном квартале новостей (о проведенных мероприятиях, об участии в региональных и (или) всероссийских мероприятиях.</w:t>
            </w:r>
            <w:proofErr w:type="gramEnd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Пример для 1 квартала. Новости об участии в Уроке Цифры, Участии в неделе единых действий, областной онлайн-дискуссии, проводимой ГУ ЯО ЦТИСО.</w:t>
            </w:r>
          </w:p>
        </w:tc>
        <w:tc>
          <w:tcPr>
            <w:tcW w:w="1755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1" w:name="line884"/>
        <w:bookmarkEnd w:id="11"/>
      </w:tr>
      <w:tr w:rsidR="00C338D0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44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 Организация дополнительного профессионального образования и подготовки педагогических работников, работников библиотек по проблемам обеспечения информационной безопасности детства, формирования информационной культуры и критического мышления 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у</w:t>
            </w:r>
            <w:proofErr w:type="gram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обучающихся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Для 1 кв. Укажите способ (письмо с реквизитами, публикация на сайте МОУО или методического центра с указанием адреса публикации), которым образовательные организации проинформированы о дистанционных курсах, проводящихся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до 11 мая на площадке Экспертной группы по образованию рабочей группы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 строительству.</w:t>
            </w:r>
            <w:proofErr w:type="gramEnd"/>
          </w:p>
        </w:tc>
        <w:tc>
          <w:tcPr>
            <w:tcW w:w="1755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2" w:name="line885"/>
        <w:bookmarkEnd w:id="12"/>
      </w:tr>
      <w:tr w:rsidR="00C338D0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4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П.8.1. Организация участия ОО и учреждений культуры в региональных и всероссийских мероприятиях по информационной безопасности.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Просим указать реквизиты и адресатов (ОО, учреждения культуры, иные (какие) учреждения) информационных писем и (или) адреса страниц сайтов МОУО и методических центров, информирующих о возможности участия в региональных и (или) всероссийских мероприятиях. Пример для 1 квартала 2020 год</w:t>
            </w: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а(</w:t>
            </w:r>
            <w:proofErr w:type="gramEnd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областной онлайн-урок и детско-взрослая онлайн-дискуссия, проводившиеся ГУ ЯО ЦТИСО, Урок цифры по теме информационной безопасности, Неделя единых действий и так далее)</w:t>
            </w:r>
          </w:p>
        </w:tc>
        <w:tc>
          <w:tcPr>
            <w:tcW w:w="1755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3" w:name="line886"/>
        <w:bookmarkEnd w:id="13"/>
      </w:tr>
      <w:tr w:rsidR="00C338D0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44" w:type="dxa"/>
            <w:vAlign w:val="center"/>
            <w:hideMark/>
          </w:tcPr>
          <w:p w:rsidR="00C338D0" w:rsidRPr="007E06D1" w:rsidRDefault="00C338D0" w:rsidP="002A506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628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П.8.2. Организация и проведение мероприятий, информационных кампаний/ дней единых действий, направленных на формирование навыков безопасного и ответственного поведения детей и молодежи в сети «Интернет».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Для 1 квартала информация совпадает с п.8.4. Просим указать: общее количество мероприятий, проведенных на уровне района и в образовательных организациях в рамках Недели безопасного поведения детей в сети Интернет, количество педагогов, количество родителей, количество детей, принявших участие в Неделе единых действий. Рекомендуем добавить перечень ключевых направлений (опросы, уроки, родительские собрания, раздача буклетов), а также привести короткое описание наиболее интересных мероприятий.</w:t>
            </w:r>
          </w:p>
        </w:tc>
        <w:tc>
          <w:tcPr>
            <w:tcW w:w="1755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4" w:name="line887"/>
        <w:bookmarkEnd w:id="14"/>
      </w:tr>
      <w:tr w:rsidR="00C338D0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44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П.8.4. Проведение областной акции «Неделя безопасного поведения детей в сети Интернет»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Для 1 квартала информация совпадает с п.8.2. Просим указать: общее количество мероприятий, проведенных на уровне района и в образовательных организациях в рамках Недели безопасного поведения детей в сети Интернет, количество педагогов, количество родителей, количество детей, принявших участие в Неделе единых действий. Рекомендуем добавить перечень ключевых направлений (опросы, уроки, родительские собрания, раздача буклетов), а также привести короткое описание для наиболее интересных мероприятий.</w:t>
            </w:r>
          </w:p>
        </w:tc>
        <w:tc>
          <w:tcPr>
            <w:tcW w:w="1755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5" w:name="line888"/>
        <w:bookmarkEnd w:id="15"/>
      </w:tr>
      <w:tr w:rsidR="00C338D0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44" w:type="dxa"/>
            <w:vAlign w:val="center"/>
            <w:hideMark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П.8.7. Проведение разъяснительных профилактических мероприятий с несовершеннолетними и их родителями (законными представителями) об ответственности за распространение информации экстремистского, порнографического и наркотического характера, информации и материалов, пропагандирующих насилие и жестокость. </w:t>
            </w:r>
          </w:p>
          <w:p w:rsidR="00C338D0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Для каждого квартала просим указывать (без нарастающего итога): в </w:t>
            </w:r>
            <w:proofErr w:type="spell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скольки</w:t>
            </w:r>
            <w:proofErr w:type="spellEnd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образовательных учреждениях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 xml:space="preserve">проведены родительские собрания по данной тематике; перечень иных типов мероприятий (например, беседы с родителями, семейные консультации и </w:t>
            </w:r>
            <w:proofErr w:type="spell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т</w:t>
            </w: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.д</w:t>
            </w:r>
            <w:proofErr w:type="spellEnd"/>
            <w:proofErr w:type="gramEnd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); количество проведенных мероприятий; общее количество родителей, включенных в мероприятия; общее количество детей, включенных в мероприятия; общее количество специалистов, привлеченных к подготовке и проведению мероприятий. Рекомендуем привести короткое описание для наиболее интересных мероприятий, перечислить темы.</w:t>
            </w:r>
          </w:p>
        </w:tc>
        <w:tc>
          <w:tcPr>
            <w:tcW w:w="1755" w:type="dxa"/>
            <w:vAlign w:val="center"/>
          </w:tcPr>
          <w:p w:rsidR="00C338D0" w:rsidRPr="007E06D1" w:rsidRDefault="00C338D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6" w:name="line889"/>
        <w:bookmarkEnd w:id="16"/>
      </w:tr>
      <w:tr w:rsidR="0067525E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44" w:type="dxa"/>
            <w:vAlign w:val="center"/>
            <w:hideMark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67525E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п.8.8. Проведение мероприятий по информационной безопасности, в том числе посвященных правилам ответственного и безопасного пользования сетью «Интернет» в специализированных (профильных) лагерях и лагерях с дневным пребыванием. </w:t>
            </w:r>
          </w:p>
          <w:p w:rsidR="0067525E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7525E" w:rsidRDefault="0067525E" w:rsidP="003A673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данном пункте указываются просветительские и обучающие мероприятия, проведенные совместно или с участием сотрудников полиции. </w:t>
            </w:r>
          </w:p>
          <w:p w:rsidR="0067525E" w:rsidRPr="007E06D1" w:rsidRDefault="0067525E" w:rsidP="003A673F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Рекомендуем указать числовые показатели (количество мероприятий, охват несовершеннолетних), а также привести краткое содержательное описание (перечень мероприятий, тематики и форматы проведения), краткое описание наиболее ярких мероприятий. Если в отчетном периоде такие мероприятия не проводились, необходимо указать, на какой срок они запланированы.</w:t>
            </w:r>
          </w:p>
        </w:tc>
        <w:tc>
          <w:tcPr>
            <w:tcW w:w="1755" w:type="dxa"/>
            <w:vAlign w:val="center"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7" w:name="line890"/>
        <w:bookmarkEnd w:id="17"/>
      </w:tr>
      <w:tr w:rsidR="0067525E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44" w:type="dxa"/>
            <w:vAlign w:val="center"/>
            <w:hideMark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67525E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П.10. Организация и проведение просветительских мероприятий, посвященных обеспечению защиты и безопасности информационной инфраструктуры образовательных учреждений по темам «Ведение школьного сайта», «Система контентной фильтрации» и т.п. </w:t>
            </w:r>
          </w:p>
          <w:p w:rsidR="0067525E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данном пункте следует указать мероприятия, организованные на уровне муниципалитета или образовательных учреждений (название, формат проведения, охват участников, охват образовательных организаций). Обратите внимание, что об участии в региональных мероприятиях в своих отчетах будут указывать организаторы этих мероприятий. В 1 квартале 2020 года МОУО могут включить в данный пункт информацию о поддержке общеобразовательных организаций в части информирования об особенностях организации контентной фильтрации в рамках регионального контракта на подключение школ к сети </w:t>
            </w:r>
            <w:r w:rsidRPr="00A6245C">
              <w:rPr>
                <w:rFonts w:eastAsia="Times New Roman" w:cs="Times New Roman"/>
                <w:i/>
                <w:szCs w:val="24"/>
                <w:lang w:eastAsia="ru-RU"/>
              </w:rPr>
              <w:t>Интернет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, а также в рамках национального проекта.</w:t>
            </w:r>
          </w:p>
        </w:tc>
        <w:tc>
          <w:tcPr>
            <w:tcW w:w="1755" w:type="dxa"/>
            <w:vAlign w:val="center"/>
          </w:tcPr>
          <w:p w:rsidR="0067525E" w:rsidRPr="007E06D1" w:rsidRDefault="0067525E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8" w:name="line891"/>
        <w:bookmarkEnd w:id="18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III. Информационное просвещение совершеннолетних граждан о необходимости и путях защиты детей от информации, причиняющей вред их здоровью и развитию</w:t>
            </w:r>
          </w:p>
        </w:tc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44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П.1. Наполнение сайтов государственных и муниципальных учреждений в сети «Интернет» информационными и рекомендательными материалами о защите детей в сети «Интернет».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3E780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данном пункте МОУО указывают </w:t>
            </w:r>
          </w:p>
          <w:p w:rsidR="00BE448B" w:rsidRPr="003E780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w:proofErr w:type="gramStart"/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 xml:space="preserve">1) адреса страниц на сайтах МОУО и методических центров, на которых размещены: раздел "Информационная безопасность", рекомендации по размещению разработанного Роскомнадзором алгоритма действий при обнаружении сайтов с запрещенной информацией, рекомендации по размещению баннера "Сообщить о противоправном контенте", а также страницы с иными информационными и рекомендательными материалами данной тематики. </w:t>
            </w:r>
            <w:proofErr w:type="gramEnd"/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2) количество и процент от общего числа муниципальных общеобразовательных организаций, создавших на своих сайтах раздел "Информационная безопасность".</w:t>
            </w:r>
          </w:p>
        </w:tc>
        <w:tc>
          <w:tcPr>
            <w:tcW w:w="1755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19" w:name="line892"/>
        <w:bookmarkEnd w:id="19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4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П.3. Организация просветительских мероприятий для родителей (законных представителей) по проблеме обеспечения информационной безопасности.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Обратите внимание, что данный пункт не пересекается с П.8.7. (отличие в тематике мероприятий) Для каждого квартала просим указывать (без нарастающего итога): в </w:t>
            </w:r>
            <w:r w:rsidRPr="00ED4C13">
              <w:rPr>
                <w:rFonts w:eastAsia="Times New Roman" w:cs="Times New Roman"/>
                <w:i/>
                <w:szCs w:val="24"/>
                <w:lang w:eastAsia="ru-RU"/>
              </w:rPr>
              <w:t>скольких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образовательных учреждениях проведены родительские собрания по данной тематике; количество проведенных мероприятий; общее количество родителей, включенных в мероприятия; общее количество специалистов, привлеченных к подготовке и проведению мероприятий. Рекомендуем привести короткое описание для наиболее интересных мероприятий, перечислить темы.</w:t>
            </w:r>
          </w:p>
        </w:tc>
        <w:tc>
          <w:tcPr>
            <w:tcW w:w="1755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0" w:name="line893"/>
        <w:bookmarkEnd w:id="20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44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П.6. Проведение областного родительского собрания «Ответственное 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родительство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»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Указывается информация об участии в данном мероприятии, или о том, что участие планируется в сроки, определенные организаторами.</w:t>
            </w:r>
          </w:p>
        </w:tc>
        <w:tc>
          <w:tcPr>
            <w:tcW w:w="1755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1" w:name="line894"/>
        <w:bookmarkEnd w:id="21"/>
      </w:tr>
      <w:tr w:rsidR="002B29F0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2B29F0" w:rsidRPr="007E06D1" w:rsidRDefault="002B29F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2B29F0" w:rsidRPr="007E06D1" w:rsidRDefault="002B29F0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IV. Создание технических, организационных и правовых механизмов по поддержке и развитию молодёжного (детского) безопасного информационного контента федерального и регионального уровней для детской аудитории</w:t>
            </w:r>
          </w:p>
        </w:tc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244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 Развитие практики по реализации музыкально-театрализованных программ для детей и подростков.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В данном пункте следует указать реализованные формы работы (мероприятия) в данном направлении, а также отдельно указать информацию об организации информационно-методических семинаров, направленных на знакомство с технологиями театральной педагогики</w:t>
            </w:r>
          </w:p>
        </w:tc>
        <w:tc>
          <w:tcPr>
            <w:tcW w:w="1755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2" w:name="line895"/>
        <w:bookmarkEnd w:id="22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244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П.4. Организация пунктов коллективного доступа в сеть «Интернет» для несовершеннолетних на базе образовательных учреждений.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Пожалуйста, укажите в данном пункте, на базе </w:t>
            </w:r>
            <w:r w:rsidRPr="005C1330">
              <w:rPr>
                <w:rFonts w:eastAsia="Times New Roman" w:cs="Times New Roman"/>
                <w:i/>
                <w:szCs w:val="24"/>
                <w:lang w:eastAsia="ru-RU"/>
              </w:rPr>
              <w:t>скольких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образовательных учреждений нормативно, организационно и технически обеспечены условия работы пункта коллективного доступа в сеть «Интернет» для несовершеннолетних. Вы можете указать также, есть ли такие пункты в библиотеках района, в рамках каких программ организованы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такие пункты в школах, библиотеках или иных организациях, сколько организаций повели открытые презентации разработанных моделей функционирования таких пунктов. При отсутствии нормативной базы работы пункта коллективного доступа просим в данном пункте указывать "нет".</w:t>
            </w:r>
          </w:p>
        </w:tc>
        <w:tc>
          <w:tcPr>
            <w:tcW w:w="1755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3" w:name="line896"/>
        <w:bookmarkEnd w:id="23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4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П.5. Расширение практики по созданию информационных ресурсов регионального, муниципального и школьного уровней, авторами которых выступают дети и молодежь.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Просим указать</w:t>
            </w:r>
            <w:r w:rsidRPr="005C1330">
              <w:rPr>
                <w:rFonts w:eastAsia="Times New Roman" w:cs="Times New Roman"/>
                <w:i/>
                <w:szCs w:val="24"/>
                <w:lang w:eastAsia="ru-RU"/>
              </w:rPr>
              <w:t>,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 в каких школах работают детские информационные центры или редакции, выпускающие свои газеты (издания). При наличии таких газет (изданий) просим указать количество выпусков за данный период и периодичность, а также формат (печатный вариант, электронный вариант, размещение на сайте, размещение в социальных сетях).</w:t>
            </w:r>
          </w:p>
        </w:tc>
        <w:tc>
          <w:tcPr>
            <w:tcW w:w="1755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4" w:name="line897"/>
        <w:bookmarkEnd w:id="24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244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П.7. Организация 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видеопросмотров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и онлайн-трансляций театральных мероприятий Мариинского театра, 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видеопортала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7E06D1">
              <w:rPr>
                <w:rFonts w:eastAsia="Times New Roman" w:cs="Times New Roman"/>
                <w:szCs w:val="24"/>
                <w:lang w:eastAsia="ru-RU"/>
              </w:rPr>
              <w:t>Культура</w:t>
            </w:r>
            <w:proofErr w:type="gramStart"/>
            <w:r w:rsidRPr="007E06D1">
              <w:rPr>
                <w:rFonts w:eastAsia="Times New Roman" w:cs="Times New Roman"/>
                <w:szCs w:val="24"/>
                <w:lang w:eastAsia="ru-RU"/>
              </w:rPr>
              <w:t>.р</w:t>
            </w:r>
            <w:proofErr w:type="gramEnd"/>
            <w:r w:rsidRPr="007E06D1">
              <w:rPr>
                <w:rFonts w:eastAsia="Times New Roman" w:cs="Times New Roman"/>
                <w:szCs w:val="24"/>
                <w:lang w:eastAsia="ru-RU"/>
              </w:rPr>
              <w:t>ф</w:t>
            </w:r>
            <w:proofErr w:type="spellEnd"/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» и видеоканалов «Мосфильм» и «Ленфильм» и других учреждений культуры Российской Федерации, в том числе в малых городах и селах региона.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В данном пункте необходимо указать, в каких общеобразовательных организациях, а также учреждениях сферы культуры района созданы технические условия для организации онлайн-трансляций общедоступных ресурсов ведущих учреждений культуры; каким способом и с какой регулярностью в отчетный период организовано информирование о возможности доступа к ресурсам ведущих учреждений культуры в районе.</w:t>
            </w:r>
          </w:p>
        </w:tc>
        <w:tc>
          <w:tcPr>
            <w:tcW w:w="1755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5" w:name="line898"/>
        <w:bookmarkEnd w:id="25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87" w:type="dxa"/>
            <w:gridSpan w:val="3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V. Внедрение системы мониторинговых исследований по вопросам обеспечения безопасности и развития детей в информационном пространстве, информатизации образования и психологического сопровождения детей в образовательных организациях</w:t>
            </w:r>
          </w:p>
        </w:tc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244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П.1. Организация участия государственных (муниципальных) общеобразовательных организаций в исследовании, направленном на изучение сфер жизнедеятельности подростков в сети «Интернет».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В 1, 2 кварталах следует указать "В сроки, установленные Советом Федерации Федерального Собрания Российской Федерации, в данном периоде не проводится". В сроки проведения мероприятия следует указать способы организации информирования целевых аудиторий (письма, публикации на сайтах).</w:t>
            </w:r>
          </w:p>
        </w:tc>
        <w:tc>
          <w:tcPr>
            <w:tcW w:w="1755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6" w:name="line899"/>
        <w:bookmarkEnd w:id="26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244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П.2. Организация участия государственных (муниципальных) общеобразовательных организаций в мониторинге уровня информатизации системы образования.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2C4643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1, 2 кварталах следует указать "В сроки, установленные Советом Федерации Федерального Собрания Российской Федерации, в данном периоде не проводится". </w:t>
            </w: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 xml:space="preserve">В сроки проведения мероприятия следует указать способы организации информирования целевых аудиторий (письма, </w:t>
            </w: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публикации на сайтах).</w:t>
            </w:r>
          </w:p>
        </w:tc>
        <w:tc>
          <w:tcPr>
            <w:tcW w:w="1755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7" w:name="line900"/>
        <w:bookmarkEnd w:id="27"/>
      </w:tr>
      <w:tr w:rsidR="00BE448B" w:rsidRPr="007E06D1" w:rsidTr="005E17ED">
        <w:trPr>
          <w:tblCellSpacing w:w="15" w:type="dxa"/>
        </w:trPr>
        <w:tc>
          <w:tcPr>
            <w:tcW w:w="577" w:type="dxa"/>
            <w:vAlign w:val="center"/>
            <w:hideMark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4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28" w:type="dxa"/>
            <w:vAlign w:val="center"/>
            <w:hideMark/>
          </w:tcPr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szCs w:val="24"/>
                <w:lang w:eastAsia="ru-RU"/>
              </w:rPr>
              <w:t xml:space="preserve">П.3. Организация участия государственных (муниципальных) общеобразовательных организаций в мониторинге работы педагогов-психологов. </w:t>
            </w:r>
          </w:p>
          <w:p w:rsidR="00BE448B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7E06D1">
              <w:rPr>
                <w:rFonts w:eastAsia="Times New Roman" w:cs="Times New Roman"/>
                <w:i/>
                <w:szCs w:val="24"/>
                <w:lang w:eastAsia="ru-RU"/>
              </w:rPr>
              <w:t>Информация указывается в соответствии со сроками проведения и получения информации от ГУ ЯО Центр "Ресурс"</w:t>
            </w:r>
          </w:p>
        </w:tc>
        <w:tc>
          <w:tcPr>
            <w:tcW w:w="1755" w:type="dxa"/>
            <w:vAlign w:val="center"/>
          </w:tcPr>
          <w:p w:rsidR="00BE448B" w:rsidRPr="007E06D1" w:rsidRDefault="00BE448B" w:rsidP="007E06D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bookmarkStart w:id="28" w:name="line901"/>
        <w:bookmarkEnd w:id="28"/>
      </w:tr>
    </w:tbl>
    <w:p w:rsidR="00FE70BF" w:rsidRDefault="00FE70BF"/>
    <w:sectPr w:rsidR="00FE70BF" w:rsidSect="007E06D1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ED" w:rsidRDefault="005E17ED" w:rsidP="005E17ED">
      <w:pPr>
        <w:spacing w:after="0" w:line="240" w:lineRule="auto"/>
      </w:pPr>
      <w:r>
        <w:separator/>
      </w:r>
    </w:p>
  </w:endnote>
  <w:endnote w:type="continuationSeparator" w:id="0">
    <w:p w:rsidR="005E17ED" w:rsidRDefault="005E17ED" w:rsidP="005E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ED" w:rsidRDefault="005E17ED" w:rsidP="005E17ED">
      <w:pPr>
        <w:spacing w:after="0" w:line="240" w:lineRule="auto"/>
      </w:pPr>
      <w:r>
        <w:separator/>
      </w:r>
    </w:p>
  </w:footnote>
  <w:footnote w:type="continuationSeparator" w:id="0">
    <w:p w:rsidR="005E17ED" w:rsidRDefault="005E17ED" w:rsidP="005E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7ED" w:rsidRDefault="005E17ED" w:rsidP="005E17ED">
    <w:pPr>
      <w:spacing w:before="100" w:beforeAutospacing="1" w:after="100" w:afterAutospacing="1" w:line="240" w:lineRule="auto"/>
      <w:jc w:val="center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szCs w:val="24"/>
        <w:lang w:eastAsia="ru-RU"/>
      </w:rPr>
      <w:t xml:space="preserve">Комментарии к заполнению </w:t>
    </w:r>
    <w:r w:rsidRPr="007E06D1">
      <w:rPr>
        <w:rFonts w:eastAsia="Times New Roman" w:cs="Times New Roman"/>
        <w:szCs w:val="24"/>
        <w:lang w:eastAsia="ru-RU"/>
      </w:rPr>
      <w:t xml:space="preserve">опроса </w:t>
    </w:r>
    <w:r>
      <w:rPr>
        <w:rFonts w:eastAsia="Times New Roman" w:cs="Times New Roman"/>
        <w:szCs w:val="24"/>
        <w:lang w:eastAsia="ru-RU"/>
      </w:rPr>
      <w:br/>
    </w:r>
    <w:r w:rsidRPr="007E06D1">
      <w:rPr>
        <w:rFonts w:eastAsia="Times New Roman" w:cs="Times New Roman"/>
        <w:szCs w:val="24"/>
        <w:lang w:eastAsia="ru-RU"/>
      </w:rPr>
      <w:t>«1 квартал 2020 г. Отчёт МОУО (ОМСУ) об исполнении Программы обеспечения информационной</w:t>
    </w:r>
    <w:r>
      <w:rPr>
        <w:rFonts w:eastAsia="Times New Roman" w:cs="Times New Roman"/>
        <w:szCs w:val="24"/>
        <w:lang w:eastAsia="ru-RU"/>
      </w:rPr>
      <w:t xml:space="preserve"> безопасности детей и молодёжи»</w:t>
    </w:r>
  </w:p>
  <w:p w:rsidR="005E17ED" w:rsidRDefault="005E17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D1"/>
    <w:rsid w:val="000531F4"/>
    <w:rsid w:val="00266CAC"/>
    <w:rsid w:val="002A506C"/>
    <w:rsid w:val="002B089F"/>
    <w:rsid w:val="002B29F0"/>
    <w:rsid w:val="002C4643"/>
    <w:rsid w:val="002E0AB4"/>
    <w:rsid w:val="003145FB"/>
    <w:rsid w:val="003A673F"/>
    <w:rsid w:val="003E7801"/>
    <w:rsid w:val="00453B71"/>
    <w:rsid w:val="005C1330"/>
    <w:rsid w:val="005E17ED"/>
    <w:rsid w:val="0067525E"/>
    <w:rsid w:val="006C2BA9"/>
    <w:rsid w:val="00757B29"/>
    <w:rsid w:val="00771B4D"/>
    <w:rsid w:val="007E06D1"/>
    <w:rsid w:val="008B0650"/>
    <w:rsid w:val="00963889"/>
    <w:rsid w:val="00A16B0B"/>
    <w:rsid w:val="00A16F4F"/>
    <w:rsid w:val="00A6245C"/>
    <w:rsid w:val="00AB5F7B"/>
    <w:rsid w:val="00AC41F7"/>
    <w:rsid w:val="00B40095"/>
    <w:rsid w:val="00B916B6"/>
    <w:rsid w:val="00BE448B"/>
    <w:rsid w:val="00C338D0"/>
    <w:rsid w:val="00C57C78"/>
    <w:rsid w:val="00CB726E"/>
    <w:rsid w:val="00D91160"/>
    <w:rsid w:val="00DC2202"/>
    <w:rsid w:val="00E73D84"/>
    <w:rsid w:val="00EB767E"/>
    <w:rsid w:val="00ED4C13"/>
    <w:rsid w:val="00F659BD"/>
    <w:rsid w:val="00F83320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7E06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7E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E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7ED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7E06D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0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D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E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17E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E1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17E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2</cp:revision>
  <cp:lastPrinted>2020-03-26T12:22:00Z</cp:lastPrinted>
  <dcterms:created xsi:type="dcterms:W3CDTF">2020-03-26T12:24:00Z</dcterms:created>
  <dcterms:modified xsi:type="dcterms:W3CDTF">2020-03-26T12:24:00Z</dcterms:modified>
</cp:coreProperties>
</file>